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3D" w:rsidRDefault="004E3B3D" w:rsidP="004E3B3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3D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3B3D">
        <w:rPr>
          <w:rFonts w:ascii="Times New Roman" w:hAnsi="Times New Roman" w:cs="Times New Roman"/>
          <w:sz w:val="28"/>
          <w:szCs w:val="28"/>
        </w:rPr>
        <w:t>й муниципального района «Забайкальский район</w:t>
      </w:r>
      <w:r>
        <w:rPr>
          <w:rFonts w:ascii="Times New Roman" w:hAnsi="Times New Roman" w:cs="Times New Roman"/>
          <w:sz w:val="28"/>
          <w:szCs w:val="28"/>
        </w:rPr>
        <w:t xml:space="preserve">» проведено мероприятие по экспертизе проекта бюджета муниципального района «Забайкальский район» на 2014 год и плановый период 2016 и 2016 годов. Подготовлено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пункта 9.1 Положения о контрольно-ревизионной комиссии муниципального района "Забайкальский район" заключение на проект решения Совета муниципального района "Забайкальский район" "Об утверждении районного бюджета муниципального района "Забайкальский район"  на 2014 год и плановый период 2015 и 2016 годов". </w:t>
      </w:r>
    </w:p>
    <w:p w:rsidR="004E3B3D" w:rsidRPr="00D45968" w:rsidRDefault="004E3B3D" w:rsidP="004E3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заключения являлись: </w:t>
      </w:r>
    </w:p>
    <w:p w:rsidR="004E3B3D" w:rsidRPr="00D45968" w:rsidRDefault="004E3B3D" w:rsidP="004E3B3D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  экспертиза обоснованности доходных статей проекта бюджета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 наличие и соблюдение законодательства и нормативных правовых актов;</w:t>
      </w:r>
    </w:p>
    <w:p w:rsidR="004E3B3D" w:rsidRPr="00D45968" w:rsidRDefault="004E3B3D" w:rsidP="004E3B3D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  анализ расходных статей проекта бюджета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 2016</w:t>
      </w:r>
      <w:r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в разрезе разделов и подразделов функциональной классификации расходов;</w:t>
      </w:r>
    </w:p>
    <w:p w:rsidR="004E3B3D" w:rsidRPr="00D45968" w:rsidRDefault="004E3B3D" w:rsidP="004E3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 оценка сбалансированности бюджета, предельного объема муниципального долга, предельного объема расходов на его обслуживание;</w:t>
      </w:r>
    </w:p>
    <w:p w:rsidR="004E3B3D" w:rsidRPr="00D45968" w:rsidRDefault="004E3B3D" w:rsidP="004E3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 анализ бюджетного процесса в муниципальном районе "Забайкальский район".</w:t>
      </w:r>
    </w:p>
    <w:p w:rsidR="004E3B3D" w:rsidRDefault="004E3B3D" w:rsidP="004E3B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решения Совета муниципального района "Забайкальский район" об утверждении бюджета на 2014 год и плановый период 2015 2016 годов содержит основные характеристики бюджета отдельно на очередной финансовый год и по каждому году планового периода, определяет источники доходов бюджета. </w:t>
      </w:r>
      <w:r w:rsidRPr="00B8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B3D" w:rsidRDefault="004E3B3D" w:rsidP="004E3B3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района предлагается утвердить:</w:t>
      </w:r>
    </w:p>
    <w:p w:rsidR="004E3B3D" w:rsidRDefault="004E3B3D" w:rsidP="004E3B3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77" w:type="dxa"/>
        <w:tblInd w:w="-530" w:type="dxa"/>
        <w:tblLook w:val="04A0"/>
      </w:tblPr>
      <w:tblGrid>
        <w:gridCol w:w="663"/>
        <w:gridCol w:w="2069"/>
        <w:gridCol w:w="1218"/>
        <w:gridCol w:w="1193"/>
        <w:gridCol w:w="1145"/>
        <w:gridCol w:w="1145"/>
        <w:gridCol w:w="948"/>
        <w:gridCol w:w="948"/>
        <w:gridCol w:w="948"/>
      </w:tblGrid>
      <w:tr w:rsidR="004E3B3D" w:rsidTr="004E3B3D">
        <w:tc>
          <w:tcPr>
            <w:tcW w:w="663" w:type="dxa"/>
            <w:vMerge w:val="restart"/>
          </w:tcPr>
          <w:p w:rsidR="004E3B3D" w:rsidRPr="00B86DB1" w:rsidRDefault="004E3B3D" w:rsidP="004E3B3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86DB1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B86DB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86DB1">
              <w:rPr>
                <w:sz w:val="18"/>
                <w:szCs w:val="18"/>
              </w:rPr>
              <w:t>/</w:t>
            </w:r>
            <w:proofErr w:type="spellStart"/>
            <w:r w:rsidRPr="00B86DB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69" w:type="dxa"/>
            <w:vMerge w:val="restart"/>
          </w:tcPr>
          <w:p w:rsidR="004E3B3D" w:rsidRPr="00B86DB1" w:rsidRDefault="004E3B3D" w:rsidP="004E3B3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86DB1">
              <w:rPr>
                <w:sz w:val="18"/>
                <w:szCs w:val="18"/>
              </w:rPr>
              <w:t>Показатели</w:t>
            </w:r>
          </w:p>
        </w:tc>
        <w:tc>
          <w:tcPr>
            <w:tcW w:w="1218" w:type="dxa"/>
            <w:vMerge w:val="restart"/>
          </w:tcPr>
          <w:p w:rsidR="004E3B3D" w:rsidRPr="00B86DB1" w:rsidRDefault="004E3B3D" w:rsidP="004E3B3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86DB1">
              <w:rPr>
                <w:sz w:val="18"/>
                <w:szCs w:val="18"/>
              </w:rPr>
              <w:t>Оценка ожидаемого исполнения в 2013 году</w:t>
            </w:r>
          </w:p>
        </w:tc>
        <w:tc>
          <w:tcPr>
            <w:tcW w:w="3483" w:type="dxa"/>
            <w:gridSpan w:val="3"/>
          </w:tcPr>
          <w:p w:rsidR="004E3B3D" w:rsidRDefault="004E3B3D" w:rsidP="004E3B3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86DB1">
              <w:rPr>
                <w:sz w:val="18"/>
                <w:szCs w:val="18"/>
              </w:rPr>
              <w:t>Проект решения о бюджете 2014  года и плановый период</w:t>
            </w:r>
          </w:p>
          <w:p w:rsidR="004E3B3D" w:rsidRPr="00B86DB1" w:rsidRDefault="004E3B3D" w:rsidP="004E3B3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86DB1">
              <w:rPr>
                <w:sz w:val="18"/>
                <w:szCs w:val="18"/>
              </w:rPr>
              <w:t xml:space="preserve"> 2015-2016 гг.</w:t>
            </w:r>
          </w:p>
        </w:tc>
        <w:tc>
          <w:tcPr>
            <w:tcW w:w="948" w:type="dxa"/>
            <w:vMerge w:val="restart"/>
          </w:tcPr>
          <w:p w:rsidR="004E3B3D" w:rsidRPr="00B86DB1" w:rsidRDefault="004E3B3D" w:rsidP="004E3B3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86DB1">
              <w:rPr>
                <w:sz w:val="18"/>
                <w:szCs w:val="18"/>
              </w:rPr>
              <w:t>% 2014г. к 2013г.</w:t>
            </w:r>
          </w:p>
        </w:tc>
        <w:tc>
          <w:tcPr>
            <w:tcW w:w="948" w:type="dxa"/>
            <w:vMerge w:val="restart"/>
          </w:tcPr>
          <w:p w:rsidR="004E3B3D" w:rsidRPr="00B86DB1" w:rsidRDefault="004E3B3D" w:rsidP="004E3B3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86DB1">
              <w:rPr>
                <w:sz w:val="18"/>
                <w:szCs w:val="18"/>
              </w:rPr>
              <w:t>% 2015г. к 2014г.</w:t>
            </w:r>
          </w:p>
        </w:tc>
        <w:tc>
          <w:tcPr>
            <w:tcW w:w="948" w:type="dxa"/>
            <w:vMerge w:val="restart"/>
          </w:tcPr>
          <w:p w:rsidR="004E3B3D" w:rsidRPr="00B86DB1" w:rsidRDefault="004E3B3D" w:rsidP="004E3B3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86DB1">
              <w:rPr>
                <w:sz w:val="18"/>
                <w:szCs w:val="18"/>
              </w:rPr>
              <w:t>% 2016г. к 2015г.</w:t>
            </w:r>
          </w:p>
        </w:tc>
      </w:tr>
      <w:tr w:rsidR="004E3B3D" w:rsidTr="004E3B3D">
        <w:tc>
          <w:tcPr>
            <w:tcW w:w="663" w:type="dxa"/>
            <w:vMerge/>
          </w:tcPr>
          <w:p w:rsidR="004E3B3D" w:rsidRPr="00B86DB1" w:rsidRDefault="004E3B3D" w:rsidP="004E3B3D">
            <w:pPr>
              <w:jc w:val="both"/>
              <w:textAlignment w:val="baseline"/>
            </w:pPr>
          </w:p>
        </w:tc>
        <w:tc>
          <w:tcPr>
            <w:tcW w:w="2069" w:type="dxa"/>
            <w:vMerge/>
          </w:tcPr>
          <w:p w:rsidR="004E3B3D" w:rsidRPr="00B86DB1" w:rsidRDefault="004E3B3D" w:rsidP="004E3B3D">
            <w:pPr>
              <w:jc w:val="both"/>
              <w:textAlignment w:val="baseline"/>
            </w:pPr>
          </w:p>
        </w:tc>
        <w:tc>
          <w:tcPr>
            <w:tcW w:w="1218" w:type="dxa"/>
            <w:vMerge/>
          </w:tcPr>
          <w:p w:rsidR="004E3B3D" w:rsidRPr="00B86DB1" w:rsidRDefault="004E3B3D" w:rsidP="004E3B3D">
            <w:pPr>
              <w:jc w:val="both"/>
              <w:textAlignment w:val="baseline"/>
            </w:pPr>
          </w:p>
        </w:tc>
        <w:tc>
          <w:tcPr>
            <w:tcW w:w="1193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18"/>
                <w:szCs w:val="18"/>
              </w:rPr>
            </w:pPr>
            <w:r w:rsidRPr="001B24BB">
              <w:rPr>
                <w:sz w:val="18"/>
                <w:szCs w:val="18"/>
              </w:rPr>
              <w:t>2014г.</w:t>
            </w:r>
          </w:p>
        </w:tc>
        <w:tc>
          <w:tcPr>
            <w:tcW w:w="1145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18"/>
                <w:szCs w:val="18"/>
              </w:rPr>
            </w:pPr>
            <w:r w:rsidRPr="001B24BB">
              <w:rPr>
                <w:sz w:val="18"/>
                <w:szCs w:val="18"/>
              </w:rPr>
              <w:t>2015г.</w:t>
            </w:r>
          </w:p>
        </w:tc>
        <w:tc>
          <w:tcPr>
            <w:tcW w:w="1145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18"/>
                <w:szCs w:val="18"/>
              </w:rPr>
            </w:pPr>
            <w:r w:rsidRPr="001B24BB">
              <w:rPr>
                <w:sz w:val="18"/>
                <w:szCs w:val="18"/>
              </w:rPr>
              <w:t>2016г.</w:t>
            </w:r>
          </w:p>
        </w:tc>
        <w:tc>
          <w:tcPr>
            <w:tcW w:w="948" w:type="dxa"/>
            <w:vMerge/>
          </w:tcPr>
          <w:p w:rsidR="004E3B3D" w:rsidRPr="00B86DB1" w:rsidRDefault="004E3B3D" w:rsidP="004E3B3D">
            <w:pPr>
              <w:jc w:val="both"/>
              <w:textAlignment w:val="baseline"/>
            </w:pPr>
          </w:p>
        </w:tc>
        <w:tc>
          <w:tcPr>
            <w:tcW w:w="948" w:type="dxa"/>
            <w:vMerge/>
          </w:tcPr>
          <w:p w:rsidR="004E3B3D" w:rsidRPr="00B86DB1" w:rsidRDefault="004E3B3D" w:rsidP="004E3B3D">
            <w:pPr>
              <w:jc w:val="both"/>
              <w:textAlignment w:val="baseline"/>
            </w:pPr>
          </w:p>
        </w:tc>
        <w:tc>
          <w:tcPr>
            <w:tcW w:w="948" w:type="dxa"/>
            <w:vMerge/>
          </w:tcPr>
          <w:p w:rsidR="004E3B3D" w:rsidRPr="00B86DB1" w:rsidRDefault="004E3B3D" w:rsidP="004E3B3D">
            <w:pPr>
              <w:jc w:val="both"/>
              <w:textAlignment w:val="baseline"/>
            </w:pPr>
          </w:p>
        </w:tc>
      </w:tr>
      <w:tr w:rsidR="004E3B3D" w:rsidTr="004E3B3D">
        <w:tc>
          <w:tcPr>
            <w:tcW w:w="663" w:type="dxa"/>
          </w:tcPr>
          <w:p w:rsidR="004E3B3D" w:rsidRPr="001B24BB" w:rsidRDefault="004E3B3D" w:rsidP="004E3B3D">
            <w:pPr>
              <w:jc w:val="both"/>
              <w:textAlignment w:val="baseline"/>
              <w:rPr>
                <w:sz w:val="24"/>
                <w:szCs w:val="24"/>
              </w:rPr>
            </w:pPr>
            <w:r w:rsidRPr="001B24BB">
              <w:rPr>
                <w:sz w:val="24"/>
                <w:szCs w:val="24"/>
              </w:rPr>
              <w:t>1.</w:t>
            </w:r>
          </w:p>
        </w:tc>
        <w:tc>
          <w:tcPr>
            <w:tcW w:w="2069" w:type="dxa"/>
          </w:tcPr>
          <w:p w:rsidR="004E3B3D" w:rsidRDefault="004E3B3D" w:rsidP="004E3B3D">
            <w:pPr>
              <w:jc w:val="both"/>
              <w:textAlignment w:val="baseline"/>
              <w:rPr>
                <w:sz w:val="24"/>
                <w:szCs w:val="24"/>
              </w:rPr>
            </w:pPr>
            <w:r w:rsidRPr="001B24BB">
              <w:rPr>
                <w:sz w:val="24"/>
                <w:szCs w:val="24"/>
              </w:rPr>
              <w:t xml:space="preserve">Доходы, </w:t>
            </w:r>
          </w:p>
          <w:p w:rsidR="004E3B3D" w:rsidRPr="001B24BB" w:rsidRDefault="004E3B3D" w:rsidP="004E3B3D">
            <w:pPr>
              <w:jc w:val="both"/>
              <w:textAlignment w:val="baseline"/>
              <w:rPr>
                <w:sz w:val="24"/>
                <w:szCs w:val="24"/>
              </w:rPr>
            </w:pPr>
            <w:r w:rsidRPr="001B24BB">
              <w:rPr>
                <w:sz w:val="24"/>
                <w:szCs w:val="24"/>
              </w:rPr>
              <w:t>тыс. руб.</w:t>
            </w:r>
          </w:p>
        </w:tc>
        <w:tc>
          <w:tcPr>
            <w:tcW w:w="1218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454205,7</w:t>
            </w:r>
          </w:p>
        </w:tc>
        <w:tc>
          <w:tcPr>
            <w:tcW w:w="1193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349778,0</w:t>
            </w:r>
          </w:p>
        </w:tc>
        <w:tc>
          <w:tcPr>
            <w:tcW w:w="1145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347623,7</w:t>
            </w:r>
          </w:p>
        </w:tc>
        <w:tc>
          <w:tcPr>
            <w:tcW w:w="1145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349013,3</w:t>
            </w:r>
          </w:p>
        </w:tc>
        <w:tc>
          <w:tcPr>
            <w:tcW w:w="948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948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948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4E3B3D" w:rsidTr="004E3B3D">
        <w:tc>
          <w:tcPr>
            <w:tcW w:w="663" w:type="dxa"/>
          </w:tcPr>
          <w:p w:rsidR="004E3B3D" w:rsidRPr="001B24BB" w:rsidRDefault="004E3B3D" w:rsidP="004E3B3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69" w:type="dxa"/>
          </w:tcPr>
          <w:p w:rsidR="004E3B3D" w:rsidRPr="001B24BB" w:rsidRDefault="004E3B3D" w:rsidP="004E3B3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расходов, тыс. руб.</w:t>
            </w:r>
          </w:p>
        </w:tc>
        <w:tc>
          <w:tcPr>
            <w:tcW w:w="1218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474618,0</w:t>
            </w:r>
          </w:p>
        </w:tc>
        <w:tc>
          <w:tcPr>
            <w:tcW w:w="1193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358968,5</w:t>
            </w:r>
          </w:p>
        </w:tc>
        <w:tc>
          <w:tcPr>
            <w:tcW w:w="1145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356773,7</w:t>
            </w:r>
          </w:p>
        </w:tc>
        <w:tc>
          <w:tcPr>
            <w:tcW w:w="1145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358629,6</w:t>
            </w:r>
          </w:p>
        </w:tc>
        <w:tc>
          <w:tcPr>
            <w:tcW w:w="948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948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948" w:type="dxa"/>
          </w:tcPr>
          <w:p w:rsidR="004E3B3D" w:rsidRPr="001B24BB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4E3B3D" w:rsidTr="004E3B3D">
        <w:tc>
          <w:tcPr>
            <w:tcW w:w="663" w:type="dxa"/>
          </w:tcPr>
          <w:p w:rsidR="004E3B3D" w:rsidRDefault="004E3B3D" w:rsidP="004E3B3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69" w:type="dxa"/>
          </w:tcPr>
          <w:p w:rsidR="004E3B3D" w:rsidRDefault="004E3B3D" w:rsidP="004E3B3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</w:p>
        </w:tc>
        <w:tc>
          <w:tcPr>
            <w:tcW w:w="1218" w:type="dxa"/>
          </w:tcPr>
          <w:p w:rsidR="004E3B3D" w:rsidRPr="00C3095A" w:rsidRDefault="004E3B3D" w:rsidP="004E3B3D">
            <w:pPr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3" w:type="dxa"/>
          </w:tcPr>
          <w:p w:rsidR="004E3B3D" w:rsidRPr="006B1493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B1493">
              <w:rPr>
                <w:sz w:val="24"/>
                <w:szCs w:val="24"/>
              </w:rPr>
              <w:t>9190,5</w:t>
            </w:r>
          </w:p>
        </w:tc>
        <w:tc>
          <w:tcPr>
            <w:tcW w:w="1145" w:type="dxa"/>
          </w:tcPr>
          <w:p w:rsidR="004E3B3D" w:rsidRPr="006B1493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B1493">
              <w:rPr>
                <w:sz w:val="24"/>
                <w:szCs w:val="24"/>
              </w:rPr>
              <w:t>9150,0</w:t>
            </w:r>
          </w:p>
        </w:tc>
        <w:tc>
          <w:tcPr>
            <w:tcW w:w="1145" w:type="dxa"/>
          </w:tcPr>
          <w:p w:rsidR="004E3B3D" w:rsidRPr="006B1493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B1493">
              <w:rPr>
                <w:sz w:val="24"/>
                <w:szCs w:val="24"/>
              </w:rPr>
              <w:t>9616,3</w:t>
            </w:r>
          </w:p>
        </w:tc>
        <w:tc>
          <w:tcPr>
            <w:tcW w:w="948" w:type="dxa"/>
          </w:tcPr>
          <w:p w:rsidR="004E3B3D" w:rsidRPr="00C3095A" w:rsidRDefault="004E3B3D" w:rsidP="004E3B3D">
            <w:pPr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8" w:type="dxa"/>
          </w:tcPr>
          <w:p w:rsidR="004E3B3D" w:rsidRPr="0056601F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 w:rsidRPr="0056601F">
              <w:rPr>
                <w:sz w:val="24"/>
                <w:szCs w:val="24"/>
              </w:rPr>
              <w:t>99,6</w:t>
            </w:r>
          </w:p>
        </w:tc>
        <w:tc>
          <w:tcPr>
            <w:tcW w:w="948" w:type="dxa"/>
          </w:tcPr>
          <w:p w:rsidR="004E3B3D" w:rsidRPr="0056601F" w:rsidRDefault="004E3B3D" w:rsidP="004E3B3D">
            <w:pPr>
              <w:jc w:val="center"/>
              <w:textAlignment w:val="baseline"/>
              <w:rPr>
                <w:sz w:val="24"/>
                <w:szCs w:val="24"/>
              </w:rPr>
            </w:pPr>
            <w:r w:rsidRPr="0056601F">
              <w:rPr>
                <w:sz w:val="24"/>
                <w:szCs w:val="24"/>
              </w:rPr>
              <w:t>105,1</w:t>
            </w:r>
          </w:p>
        </w:tc>
      </w:tr>
    </w:tbl>
    <w:p w:rsidR="004E3B3D" w:rsidRDefault="004E3B3D" w:rsidP="004E3B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3B3D" w:rsidRDefault="004E3B3D" w:rsidP="004E3B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Формирование доходной части бюджета муниципального района на 2014 год со снижением относительно ожидаемого исполнения бюджета за 2013 год в сумме 104427,7 тыс. рублей или на 23% связано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планируемым:</w:t>
      </w:r>
    </w:p>
    <w:p w:rsidR="004E3B3D" w:rsidRDefault="004E3B3D" w:rsidP="004E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снижением поступлений по группе "Налоговые доходы" – на 41,5% или на </w:t>
      </w:r>
      <w:r w:rsidRPr="009A0316">
        <w:rPr>
          <w:rFonts w:ascii="Times New Roman" w:eastAsia="Times New Roman" w:hAnsi="Times New Roman" w:cs="Times New Roman"/>
          <w:sz w:val="28"/>
          <w:szCs w:val="28"/>
          <w:lang w:eastAsia="ru-RU"/>
        </w:rPr>
        <w:t>41078,1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4E3B3D" w:rsidRDefault="004E3B3D" w:rsidP="004E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снижением поступлений по группе "Неналоговые доходы" – на  </w:t>
      </w:r>
      <w:r w:rsidRPr="009A0316">
        <w:rPr>
          <w:rFonts w:ascii="Times New Roman" w:eastAsia="Times New Roman" w:hAnsi="Times New Roman" w:cs="Times New Roman"/>
          <w:sz w:val="28"/>
          <w:szCs w:val="28"/>
          <w:lang w:eastAsia="ru-RU"/>
        </w:rPr>
        <w:t>14672,5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40,2%; </w:t>
      </w:r>
    </w:p>
    <w:p w:rsidR="004E3B3D" w:rsidRDefault="004E3B3D" w:rsidP="004E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сокращением поступлений по группе "Безвозмездные перечисления" – на </w:t>
      </w:r>
      <w:r w:rsidRPr="000278FF">
        <w:rPr>
          <w:rFonts w:ascii="Times New Roman" w:eastAsia="Times New Roman" w:hAnsi="Times New Roman" w:cs="Times New Roman"/>
          <w:sz w:val="28"/>
          <w:szCs w:val="28"/>
          <w:lang w:eastAsia="ru-RU"/>
        </w:rPr>
        <w:t>49049,1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на 16%.</w:t>
      </w:r>
    </w:p>
    <w:p w:rsidR="004E3B3D" w:rsidRDefault="004E3B3D" w:rsidP="004E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общей сумме собственных доходов муниципального района наибольшим доходным источником являются налоговые доходы.</w:t>
      </w:r>
    </w:p>
    <w:p w:rsidR="004E3B3D" w:rsidRDefault="004E3B3D" w:rsidP="004E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Налоговые доходы на 2014 год запланированы в сумме 70033,7 тыс. рублей, что на </w:t>
      </w:r>
      <w:r w:rsidRPr="001D428F">
        <w:rPr>
          <w:rFonts w:ascii="Times New Roman" w:eastAsia="Times New Roman" w:hAnsi="Times New Roman" w:cs="Times New Roman"/>
          <w:sz w:val="28"/>
          <w:szCs w:val="28"/>
          <w:lang w:eastAsia="ru-RU"/>
        </w:rPr>
        <w:t>43374,1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ниже уровня утвержденного бюджетного назначения на 2013 год (61,8%). В 2014 году увеличение налоговых доходов планируется только по одному виду налогов – налогу на добычу общераспространенных полезных ископаемых (НДПИ). По остальным видам налогов предполагается сокращение поступлений на общую сумму 43548,1 тыс. рублей по отношению к уточненным бюджетным назначениям 2013 года.</w:t>
      </w:r>
    </w:p>
    <w:p w:rsidR="004E3B3D" w:rsidRDefault="004E3B3D" w:rsidP="003D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собственных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муниципального района на 2014 год и плановый период 2015-2016 годов неналоговые доходы составляют 23,8%, 21,6% и 20,6% по годам соответственно. </w:t>
      </w:r>
    </w:p>
    <w:p w:rsidR="004E3B3D" w:rsidRDefault="004E3B3D" w:rsidP="004E3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план по неналоговым поступлениям занижен. Так, ожидаемое исполнение бюджета муниципального района по неналоговым доходам в 2013 году на 17229 тыс. рублей (в 1,9 раза) больше в сравнении с первоначальным планом.</w:t>
      </w:r>
    </w:p>
    <w:p w:rsidR="004E3B3D" w:rsidRDefault="004E3B3D" w:rsidP="004E3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района "Забайкальский район" на 2014 год запланированы в объеме 358968,5 тыс. рублей, что на 115649,5 тыс. рублей (на 24,4%) ниже относительно ожидаемого исполнения бюджета 2013 года.</w:t>
      </w:r>
    </w:p>
    <w:p w:rsidR="004E3B3D" w:rsidRDefault="004E3B3D" w:rsidP="004E3B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расходов проекта бюджета наибольшую долю составляет: образование – 75,1%, общегосударственные вопросы – 15,6%, социальная политика – 5,2%, межбюджетные трансферты – 3,3%. </w:t>
      </w:r>
    </w:p>
    <w:p w:rsidR="004E3B3D" w:rsidRPr="00BA4F3D" w:rsidRDefault="004E3B3D" w:rsidP="003D1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расходных обязательств района на 2014 год соответствует объему ассигнований по функциональной и ведомственной структуре расходов бюджета на 2014 год. </w:t>
      </w:r>
    </w:p>
    <w:p w:rsidR="004E3B3D" w:rsidRPr="00D45968" w:rsidRDefault="004E3B3D" w:rsidP="004E3B3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установлен предельный размер дефицита бюджета муниципального района "Забайкальский район": 9190,5 тыс. рублей на 2014 год, 9150,0 тыс. рублей – на 2015 год и 9616,3 тыс. рублей – на 2016 год, что соответствует требованиям п.3 ст.92.1 Бюджетного кодекса Российской Федерации.</w:t>
      </w:r>
      <w:r w:rsidRPr="00D4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B3D" w:rsidRDefault="004E3B3D" w:rsidP="004E3B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проекте бюджета предусмотрена реализация программ по следующим направлениям:</w:t>
      </w:r>
    </w:p>
    <w:p w:rsidR="004E3B3D" w:rsidRDefault="004E3B3D" w:rsidP="004E3B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социальная политика – 7 программ, экономическая политика – 2 программы, безопасность – 2 программы и инфраструктура – 1 программа. </w:t>
      </w:r>
    </w:p>
    <w:p w:rsidR="004E3B3D" w:rsidRPr="001261EB" w:rsidRDefault="004E3B3D" w:rsidP="004E3B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предложения:</w:t>
      </w:r>
    </w:p>
    <w:p w:rsidR="004E3B3D" w:rsidRDefault="004E3B3D" w:rsidP="004E3B3D">
      <w:pPr>
        <w:pStyle w:val="af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Администрацией муниципального района "Забайкальский район" проект решения о бюджете муниципального района "Забайкальский район" на 2014 год и плановый период 2015-2016 годов, а также перечень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одновременно с проектом бюджета соответствуют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Бюджетного кодекса РФ.</w:t>
      </w:r>
    </w:p>
    <w:p w:rsidR="004E3B3D" w:rsidRDefault="004E3B3D" w:rsidP="004E3B3D">
      <w:pPr>
        <w:pStyle w:val="af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утвержден порядок разработки прогноза социально-экономического развития муниципального района "Забайкальский район" на 2014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плановый период 2015 и 2016 годов, Администрацией района не принято решение об одобрении прогноза социально-экономического развития района.</w:t>
      </w:r>
    </w:p>
    <w:p w:rsidR="004E3B3D" w:rsidRDefault="004E3B3D" w:rsidP="004E3B3D">
      <w:pPr>
        <w:pStyle w:val="af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уточнить показатели в части неналоговых доходов бюджета (прочие доходы от использования муниципального имущества), в случае необходимости откорректировать показатели в процессе исполнения бюджета на 2014 год и плановый период 2015-2016 годов. </w:t>
      </w:r>
    </w:p>
    <w:p w:rsidR="004E3B3D" w:rsidRDefault="004E3B3D" w:rsidP="004E3B3D">
      <w:pPr>
        <w:pStyle w:val="af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бюджета, предельный объем муниципального долга соответствуют требованиям Бюджетного кодекса РФ.</w:t>
      </w:r>
    </w:p>
    <w:p w:rsidR="004E3B3D" w:rsidRDefault="004E3B3D" w:rsidP="004E3B3D">
      <w:pPr>
        <w:pStyle w:val="af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района обеспечены финансированием в соответствии с плановым реестром расходных обязательств.</w:t>
      </w:r>
    </w:p>
    <w:p w:rsidR="004E3B3D" w:rsidRDefault="004E3B3D" w:rsidP="004E3B3D">
      <w:pPr>
        <w:pStyle w:val="af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муниципального района "Забайкальский район" считает возможным рекомендовать Совету муниципального района "Забайкальский район" утвердить бюджет муниципального района "Забайкальский район" с учетом замечаний в предложенных проектом параметрах. </w:t>
      </w:r>
    </w:p>
    <w:p w:rsidR="004E3B3D" w:rsidRPr="00D45968" w:rsidRDefault="004E3B3D" w:rsidP="004E3B3D">
      <w:pPr>
        <w:spacing w:after="0" w:line="240" w:lineRule="auto"/>
        <w:ind w:firstLine="225"/>
        <w:jc w:val="both"/>
        <w:rPr>
          <w:rFonts w:ascii="Arial" w:eastAsia="Times New Roman" w:hAnsi="Arial" w:cs="Arial"/>
          <w:lang w:eastAsia="ru-RU"/>
        </w:rPr>
      </w:pPr>
    </w:p>
    <w:p w:rsidR="004E3B3D" w:rsidRPr="00555D48" w:rsidRDefault="004E3B3D" w:rsidP="004E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3B3D" w:rsidRPr="00555D48" w:rsidRDefault="004E3B3D" w:rsidP="004E3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3D" w:rsidRPr="00D45968" w:rsidRDefault="004E3B3D" w:rsidP="004E3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3D" w:rsidRPr="00D45968" w:rsidRDefault="004E3B3D" w:rsidP="004E3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3D" w:rsidRPr="00D45968" w:rsidRDefault="004E3B3D" w:rsidP="004E3B3D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3D" w:rsidRPr="00D45968" w:rsidRDefault="004E3B3D" w:rsidP="004E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3D" w:rsidRPr="00D45968" w:rsidRDefault="004E3B3D" w:rsidP="004E3B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3D" w:rsidRPr="00D45968" w:rsidRDefault="004E3B3D" w:rsidP="004E3B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5968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4E3B3D" w:rsidRPr="00D45968" w:rsidRDefault="004E3B3D" w:rsidP="004E3B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B3D" w:rsidRPr="00965BA0" w:rsidRDefault="004E3B3D" w:rsidP="004E3B3D">
      <w:pPr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4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E3B3D" w:rsidRPr="00965BA0" w:rsidRDefault="004E3B3D" w:rsidP="004E3B3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E3B3D" w:rsidRPr="00D45968" w:rsidRDefault="004E3B3D" w:rsidP="004E3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3D" w:rsidRPr="00D45968" w:rsidRDefault="004E3B3D" w:rsidP="004E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3D" w:rsidRPr="00D45968" w:rsidRDefault="004E3B3D" w:rsidP="004E3B3D">
      <w:pPr>
        <w:widowControl w:val="0"/>
        <w:tabs>
          <w:tab w:val="left" w:pos="284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3D" w:rsidRPr="00D45968" w:rsidRDefault="004E3B3D" w:rsidP="004E3B3D">
      <w:pPr>
        <w:widowControl w:val="0"/>
        <w:tabs>
          <w:tab w:val="left" w:pos="284"/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3D" w:rsidRPr="00D45968" w:rsidRDefault="004E3B3D" w:rsidP="004E3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3D" w:rsidRPr="00D45968" w:rsidRDefault="004E3B3D" w:rsidP="004E3B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3D" w:rsidRPr="00D45968" w:rsidRDefault="004E3B3D" w:rsidP="004E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3D" w:rsidRPr="00D45968" w:rsidRDefault="004E3B3D" w:rsidP="004E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3D" w:rsidRPr="00D45968" w:rsidRDefault="004E3B3D" w:rsidP="004E3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66FF"/>
          <w:lang w:eastAsia="ru-RU"/>
        </w:rPr>
      </w:pPr>
    </w:p>
    <w:p w:rsidR="004E3B3D" w:rsidRPr="004E3B3D" w:rsidRDefault="004E3B3D" w:rsidP="004E3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E3B3D" w:rsidRPr="004E3B3D" w:rsidSect="0053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1E09"/>
    <w:multiLevelType w:val="hybridMultilevel"/>
    <w:tmpl w:val="12A8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95678"/>
    <w:multiLevelType w:val="hybridMultilevel"/>
    <w:tmpl w:val="ED50A04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68A706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26B0763C"/>
    <w:multiLevelType w:val="hybridMultilevel"/>
    <w:tmpl w:val="B692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D9A"/>
    <w:multiLevelType w:val="hybridMultilevel"/>
    <w:tmpl w:val="A5E4B1F8"/>
    <w:lvl w:ilvl="0" w:tplc="D6643E9A">
      <w:start w:val="1"/>
      <w:numFmt w:val="bullet"/>
      <w:lvlText w:val=""/>
      <w:lvlJc w:val="left"/>
      <w:pPr>
        <w:tabs>
          <w:tab w:val="num" w:pos="1503"/>
        </w:tabs>
        <w:ind w:left="104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FCB5614"/>
    <w:multiLevelType w:val="hybridMultilevel"/>
    <w:tmpl w:val="CEEE1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61491"/>
    <w:multiLevelType w:val="hybridMultilevel"/>
    <w:tmpl w:val="AA0E7650"/>
    <w:lvl w:ilvl="0" w:tplc="68109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CE3B59"/>
    <w:multiLevelType w:val="hybridMultilevel"/>
    <w:tmpl w:val="133EAAF6"/>
    <w:lvl w:ilvl="0" w:tplc="02E0BEE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B14F8D"/>
    <w:multiLevelType w:val="hybridMultilevel"/>
    <w:tmpl w:val="4A727F82"/>
    <w:lvl w:ilvl="0" w:tplc="D6643E9A">
      <w:start w:val="1"/>
      <w:numFmt w:val="bullet"/>
      <w:lvlText w:val=""/>
      <w:lvlJc w:val="left"/>
      <w:pPr>
        <w:tabs>
          <w:tab w:val="num" w:pos="1503"/>
        </w:tabs>
        <w:ind w:left="104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3D"/>
    <w:rsid w:val="003D10CD"/>
    <w:rsid w:val="004E3B3D"/>
    <w:rsid w:val="00530395"/>
    <w:rsid w:val="00D1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3D"/>
  </w:style>
  <w:style w:type="paragraph" w:styleId="1">
    <w:name w:val="heading 1"/>
    <w:basedOn w:val="a"/>
    <w:next w:val="a"/>
    <w:link w:val="10"/>
    <w:qFormat/>
    <w:rsid w:val="004E3B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B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3B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4E3B3D"/>
  </w:style>
  <w:style w:type="paragraph" w:styleId="a4">
    <w:name w:val="Normal (Web)"/>
    <w:basedOn w:val="a"/>
    <w:rsid w:val="004E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E3B3D"/>
  </w:style>
  <w:style w:type="paragraph" w:styleId="a6">
    <w:name w:val="footer"/>
    <w:basedOn w:val="a"/>
    <w:link w:val="a7"/>
    <w:rsid w:val="004E3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E3B3D"/>
  </w:style>
  <w:style w:type="paragraph" w:customStyle="1" w:styleId="ConsPlusNormal">
    <w:name w:val="ConsPlusNormal"/>
    <w:rsid w:val="004E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3B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12"/>
    <w:rsid w:val="004E3B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4E3B3D"/>
    <w:pPr>
      <w:shd w:val="clear" w:color="auto" w:fill="FFFFFF"/>
      <w:spacing w:before="600" w:after="480" w:line="486" w:lineRule="exact"/>
      <w:jc w:val="both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4E3B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кты"/>
    <w:basedOn w:val="a"/>
    <w:link w:val="ad"/>
    <w:qFormat/>
    <w:rsid w:val="004E3B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Акты Знак"/>
    <w:link w:val="ac"/>
    <w:rsid w:val="004E3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Акты 6 пт"/>
    <w:basedOn w:val="ac"/>
    <w:qFormat/>
    <w:rsid w:val="004E3B3D"/>
    <w:pPr>
      <w:spacing w:before="120"/>
    </w:pPr>
    <w:rPr>
      <w:szCs w:val="20"/>
    </w:rPr>
  </w:style>
  <w:style w:type="paragraph" w:customStyle="1" w:styleId="Heading">
    <w:name w:val="Heading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Style3">
    <w:name w:val="Style3"/>
    <w:basedOn w:val="a"/>
    <w:rsid w:val="004E3B3D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E3B3D"/>
    <w:rPr>
      <w:rFonts w:ascii="Times New Roman" w:hAnsi="Times New Roman" w:cs="Times New Roman"/>
      <w:b/>
      <w:bCs/>
      <w:sz w:val="22"/>
      <w:szCs w:val="22"/>
    </w:rPr>
  </w:style>
  <w:style w:type="character" w:customStyle="1" w:styleId="ae">
    <w:name w:val="Гипертекстовая ссылка"/>
    <w:rsid w:val="004E3B3D"/>
    <w:rPr>
      <w:color w:val="106BBE"/>
    </w:rPr>
  </w:style>
  <w:style w:type="paragraph" w:styleId="af">
    <w:name w:val="Body Text Indent"/>
    <w:aliases w:val="Надин стиль,Основной текст 1,Нумерованный список !!,Iniiaiie oaeno 1,Ioia?iaaiiue nienie !!,Iaaei noeeu"/>
    <w:basedOn w:val="a"/>
    <w:link w:val="af0"/>
    <w:rsid w:val="004E3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E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4E3B3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3">
    <w:name w:val="Знак1"/>
    <w:basedOn w:val="a"/>
    <w:rsid w:val="004E3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E3B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4E3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4E3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Обычный текст"/>
    <w:basedOn w:val="a"/>
    <w:rsid w:val="004E3B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4E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E3B3D"/>
  </w:style>
  <w:style w:type="paragraph" w:customStyle="1" w:styleId="af6">
    <w:name w:val="Знак"/>
    <w:basedOn w:val="a"/>
    <w:rsid w:val="004E3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4E3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1</cp:revision>
  <dcterms:created xsi:type="dcterms:W3CDTF">2018-12-26T00:36:00Z</dcterms:created>
  <dcterms:modified xsi:type="dcterms:W3CDTF">2018-12-26T01:02:00Z</dcterms:modified>
</cp:coreProperties>
</file>